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8" w:type="dxa"/>
        <w:tblInd w:w="0" w:type="dxa"/>
        <w:tblCellMar>
          <w:top w:w="16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0918"/>
      </w:tblGrid>
      <w:tr w:rsidR="00BA34E2">
        <w:trPr>
          <w:trHeight w:val="807"/>
        </w:trPr>
        <w:tc>
          <w:tcPr>
            <w:tcW w:w="10918" w:type="dxa"/>
            <w:tcBorders>
              <w:top w:val="nil"/>
              <w:left w:val="nil"/>
              <w:bottom w:val="single" w:sz="6" w:space="0" w:color="336699"/>
              <w:right w:val="nil"/>
            </w:tcBorders>
            <w:shd w:val="clear" w:color="auto" w:fill="336699"/>
          </w:tcPr>
          <w:p w:rsidR="00BA34E2" w:rsidRDefault="00FD7C43">
            <w:pPr>
              <w:spacing w:after="0" w:line="259" w:lineRule="auto"/>
              <w:ind w:left="2502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381</wp:posOffset>
                  </wp:positionH>
                  <wp:positionV relativeFrom="paragraph">
                    <wp:posOffset>-1524</wp:posOffset>
                  </wp:positionV>
                  <wp:extent cx="1524000" cy="361950"/>
                  <wp:effectExtent l="0" t="0" r="0" b="0"/>
                  <wp:wrapSquare wrapText="bothSides"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DCDCDC"/>
                <w:sz w:val="24"/>
              </w:rPr>
              <w:t xml:space="preserve">FICHE DE POSTE  </w:t>
            </w:r>
          </w:p>
          <w:p w:rsidR="00BA34E2" w:rsidRDefault="00FD7C43">
            <w:pPr>
              <w:spacing w:after="0" w:line="259" w:lineRule="auto"/>
              <w:ind w:left="3562" w:firstLine="0"/>
            </w:pPr>
            <w:r>
              <w:rPr>
                <w:rFonts w:ascii="Arial" w:eastAsia="Arial" w:hAnsi="Arial" w:cs="Arial"/>
                <w:b/>
                <w:color w:val="DCDCDC"/>
                <w:sz w:val="24"/>
              </w:rPr>
              <w:t xml:space="preserve">PRATICIEN HOSPITALIER URC APHP GHU Paris Nord </w:t>
            </w:r>
          </w:p>
          <w:p w:rsidR="00BA34E2" w:rsidRDefault="001775BA">
            <w:pPr>
              <w:spacing w:after="0" w:line="259" w:lineRule="auto"/>
              <w:ind w:left="2497" w:firstLine="0"/>
              <w:jc w:val="center"/>
            </w:pPr>
            <w:r>
              <w:rPr>
                <w:rFonts w:ascii="Arial" w:eastAsia="Arial" w:hAnsi="Arial" w:cs="Arial"/>
                <w:b/>
                <w:color w:val="DCDCDC"/>
                <w:sz w:val="20"/>
              </w:rPr>
              <w:t>Date de mise à jour : 29/06/2023</w:t>
            </w:r>
            <w:r w:rsidR="00FD7C43">
              <w:rPr>
                <w:rFonts w:ascii="Arial" w:eastAsia="Arial" w:hAnsi="Arial" w:cs="Arial"/>
                <w:b/>
                <w:color w:val="DCDCDC"/>
                <w:sz w:val="24"/>
              </w:rPr>
              <w:t xml:space="preserve"> </w:t>
            </w:r>
          </w:p>
        </w:tc>
      </w:tr>
    </w:tbl>
    <w:p w:rsidR="00BA34E2" w:rsidRDefault="00FD7C43">
      <w:pPr>
        <w:spacing w:after="0" w:line="259" w:lineRule="auto"/>
        <w:ind w:left="41"/>
      </w:pPr>
      <w:r>
        <w:rPr>
          <w:b/>
          <w:color w:val="003399"/>
        </w:rPr>
        <w:t xml:space="preserve">NOM DU GH : </w:t>
      </w:r>
      <w:r>
        <w:rPr>
          <w:b/>
        </w:rPr>
        <w:t xml:space="preserve">Saint-Louis, Lariboisière, Fernand-Widal </w:t>
      </w:r>
    </w:p>
    <w:p w:rsidR="00BA34E2" w:rsidRDefault="00FD7C43">
      <w:pPr>
        <w:spacing w:after="0" w:line="259" w:lineRule="auto"/>
        <w:ind w:left="12"/>
      </w:pPr>
      <w:r>
        <w:rPr>
          <w:b/>
          <w:color w:val="003399"/>
        </w:rPr>
        <w:t xml:space="preserve">NOM DE L’ETABLISSEMENT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 xml:space="preserve">Unité de Recherche Clinique Lariboisière-St Louis, site St Louis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>Direction de la Recherche Clinique et de l’Innovation (DRCI)</w:t>
      </w:r>
      <w:r>
        <w:rPr>
          <w:b/>
          <w:color w:val="003399"/>
        </w:rPr>
        <w:t xml:space="preserve"> </w:t>
      </w:r>
    </w:p>
    <w:p w:rsidR="00BA34E2" w:rsidRDefault="00FD7C43">
      <w:pPr>
        <w:spacing w:after="0" w:line="259" w:lineRule="auto"/>
        <w:ind w:left="12"/>
      </w:pPr>
      <w:r>
        <w:rPr>
          <w:b/>
          <w:color w:val="003399"/>
        </w:rPr>
        <w:t xml:space="preserve">ADRESSE DE L’ETABLISSEMENT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 xml:space="preserve">Hôpital Saint Louis 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 xml:space="preserve">1 av, Claude </w:t>
      </w:r>
      <w:proofErr w:type="spellStart"/>
      <w:r>
        <w:rPr>
          <w:b/>
        </w:rPr>
        <w:t>Vellefaux</w:t>
      </w:r>
      <w:proofErr w:type="spellEnd"/>
      <w:r>
        <w:rPr>
          <w:b/>
        </w:rPr>
        <w:t xml:space="preserve"> 75010 Paris</w:t>
      </w:r>
      <w:r>
        <w:rPr>
          <w:rFonts w:ascii="Arial" w:eastAsia="Arial" w:hAnsi="Arial" w:cs="Arial"/>
        </w:rPr>
        <w:t xml:space="preserve"> </w:t>
      </w:r>
    </w:p>
    <w:p w:rsidR="00BA34E2" w:rsidRDefault="00FD7C43">
      <w:pPr>
        <w:spacing w:after="0" w:line="259" w:lineRule="auto"/>
        <w:ind w:left="17" w:firstLine="0"/>
      </w:pPr>
      <w:r>
        <w:rPr>
          <w:b/>
          <w:color w:val="003399"/>
        </w:rPr>
        <w:t xml:space="preserve"> </w:t>
      </w:r>
    </w:p>
    <w:tbl>
      <w:tblPr>
        <w:tblStyle w:val="TableGrid"/>
        <w:tblW w:w="10917" w:type="dxa"/>
        <w:tblInd w:w="1" w:type="dxa"/>
        <w:tblCellMar>
          <w:left w:w="1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3797"/>
        <w:gridCol w:w="7120"/>
      </w:tblGrid>
      <w:tr w:rsidR="00BA34E2">
        <w:trPr>
          <w:trHeight w:val="310"/>
        </w:trPr>
        <w:tc>
          <w:tcPr>
            <w:tcW w:w="3797" w:type="dxa"/>
            <w:tcBorders>
              <w:top w:val="single" w:sz="2" w:space="0" w:color="999999"/>
              <w:left w:val="single" w:sz="2" w:space="0" w:color="999999"/>
              <w:bottom w:val="single" w:sz="6" w:space="0" w:color="99CCFF"/>
              <w:right w:val="single" w:sz="2" w:space="0" w:color="999999"/>
            </w:tcBorders>
            <w:shd w:val="clear" w:color="auto" w:fill="99CCFF"/>
            <w:vAlign w:val="bottom"/>
          </w:tcPr>
          <w:p w:rsidR="00BA34E2" w:rsidRDefault="00FD7C43">
            <w:pPr>
              <w:spacing w:after="0" w:line="259" w:lineRule="auto"/>
              <w:ind w:left="1" w:firstLine="0"/>
            </w:pPr>
            <w:r>
              <w:rPr>
                <w:b/>
                <w:color w:val="000080"/>
                <w:sz w:val="17"/>
              </w:rPr>
              <w:t xml:space="preserve">POSTE A POURVOIR POUR LE </w:t>
            </w:r>
          </w:p>
        </w:tc>
        <w:tc>
          <w:tcPr>
            <w:tcW w:w="71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BA34E2" w:rsidRDefault="00FD7C43">
            <w:pPr>
              <w:spacing w:after="0" w:line="259" w:lineRule="auto"/>
              <w:ind w:left="0" w:firstLine="0"/>
            </w:pPr>
            <w:r>
              <w:t>Dès que possible</w:t>
            </w:r>
            <w:r>
              <w:rPr>
                <w:sz w:val="20"/>
              </w:rPr>
              <w:t xml:space="preserve"> </w:t>
            </w:r>
          </w:p>
        </w:tc>
      </w:tr>
      <w:tr w:rsidR="00BA34E2">
        <w:trPr>
          <w:trHeight w:val="314"/>
        </w:trPr>
        <w:tc>
          <w:tcPr>
            <w:tcW w:w="3797" w:type="dxa"/>
            <w:tcBorders>
              <w:top w:val="single" w:sz="6" w:space="0" w:color="99CCFF"/>
              <w:left w:val="single" w:sz="2" w:space="0" w:color="999999"/>
              <w:bottom w:val="single" w:sz="13" w:space="0" w:color="99CCFF"/>
              <w:right w:val="single" w:sz="2" w:space="0" w:color="999999"/>
            </w:tcBorders>
            <w:shd w:val="clear" w:color="auto" w:fill="99CCFF"/>
            <w:vAlign w:val="bottom"/>
          </w:tcPr>
          <w:p w:rsidR="00BA34E2" w:rsidRDefault="00FD7C43">
            <w:pPr>
              <w:spacing w:after="0" w:line="259" w:lineRule="auto"/>
              <w:ind w:left="1" w:firstLine="0"/>
            </w:pPr>
            <w:r>
              <w:rPr>
                <w:b/>
                <w:color w:val="000080"/>
                <w:sz w:val="17"/>
              </w:rPr>
              <w:t>MODALITES DE RECRUTEMENT</w:t>
            </w:r>
            <w:r>
              <w:rPr>
                <w:color w:val="000080"/>
                <w:sz w:val="17"/>
              </w:rPr>
              <w:t xml:space="preserve"> </w:t>
            </w:r>
          </w:p>
        </w:tc>
        <w:tc>
          <w:tcPr>
            <w:tcW w:w="71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BA34E2" w:rsidRDefault="00FD7C43">
            <w:pPr>
              <w:spacing w:after="0" w:line="259" w:lineRule="auto"/>
              <w:ind w:left="0" w:firstLine="0"/>
            </w:pPr>
            <w:r>
              <w:t xml:space="preserve">Praticien Hospitalier Contractuel </w:t>
            </w:r>
          </w:p>
        </w:tc>
      </w:tr>
      <w:tr w:rsidR="00BA34E2">
        <w:trPr>
          <w:trHeight w:val="317"/>
        </w:trPr>
        <w:tc>
          <w:tcPr>
            <w:tcW w:w="3797" w:type="dxa"/>
            <w:tcBorders>
              <w:top w:val="single" w:sz="13" w:space="0" w:color="99CCFF"/>
              <w:left w:val="single" w:sz="2" w:space="0" w:color="999999"/>
              <w:bottom w:val="single" w:sz="6" w:space="0" w:color="99CCFF"/>
              <w:right w:val="single" w:sz="2" w:space="0" w:color="999999"/>
            </w:tcBorders>
            <w:shd w:val="clear" w:color="auto" w:fill="99CCFF"/>
            <w:vAlign w:val="bottom"/>
          </w:tcPr>
          <w:p w:rsidR="00BA34E2" w:rsidRDefault="00FD7C43">
            <w:pPr>
              <w:spacing w:after="0" w:line="259" w:lineRule="auto"/>
              <w:ind w:left="1" w:firstLine="0"/>
            </w:pPr>
            <w:r>
              <w:rPr>
                <w:b/>
                <w:color w:val="000080"/>
                <w:sz w:val="17"/>
              </w:rPr>
              <w:t xml:space="preserve">PERSONNE A CONTACTER </w:t>
            </w:r>
          </w:p>
        </w:tc>
        <w:tc>
          <w:tcPr>
            <w:tcW w:w="71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BA34E2" w:rsidRDefault="001775BA">
            <w:pPr>
              <w:spacing w:after="0" w:line="259" w:lineRule="auto"/>
              <w:ind w:left="0" w:firstLine="0"/>
            </w:pPr>
            <w:r>
              <w:t>Dr Jérôme Lambert</w:t>
            </w:r>
          </w:p>
        </w:tc>
      </w:tr>
      <w:tr w:rsidR="00BA34E2">
        <w:trPr>
          <w:trHeight w:val="314"/>
        </w:trPr>
        <w:tc>
          <w:tcPr>
            <w:tcW w:w="3797" w:type="dxa"/>
            <w:tcBorders>
              <w:top w:val="single" w:sz="6" w:space="0" w:color="99CCFF"/>
              <w:left w:val="single" w:sz="2" w:space="0" w:color="999999"/>
              <w:bottom w:val="single" w:sz="6" w:space="0" w:color="99CCFF"/>
              <w:right w:val="single" w:sz="2" w:space="0" w:color="999999"/>
            </w:tcBorders>
            <w:shd w:val="clear" w:color="auto" w:fill="99CCFF"/>
            <w:vAlign w:val="bottom"/>
          </w:tcPr>
          <w:p w:rsidR="00BA34E2" w:rsidRDefault="00FD7C43">
            <w:pPr>
              <w:spacing w:after="0" w:line="259" w:lineRule="auto"/>
              <w:ind w:left="1" w:firstLine="0"/>
            </w:pPr>
            <w:r>
              <w:rPr>
                <w:b/>
                <w:color w:val="000080"/>
                <w:sz w:val="17"/>
              </w:rPr>
              <w:t xml:space="preserve">TELEPHONE  </w:t>
            </w:r>
          </w:p>
        </w:tc>
        <w:tc>
          <w:tcPr>
            <w:tcW w:w="71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BA34E2" w:rsidRDefault="00FD7C43">
            <w:pPr>
              <w:spacing w:after="0" w:line="259" w:lineRule="auto"/>
              <w:ind w:left="0" w:firstLine="0"/>
            </w:pPr>
            <w:r>
              <w:t xml:space="preserve">01 42 49 97 71 </w:t>
            </w:r>
            <w:r w:rsidR="00F7689E">
              <w:t xml:space="preserve">- </w:t>
            </w:r>
          </w:p>
        </w:tc>
      </w:tr>
      <w:tr w:rsidR="00BA34E2">
        <w:trPr>
          <w:trHeight w:val="667"/>
        </w:trPr>
        <w:tc>
          <w:tcPr>
            <w:tcW w:w="3797" w:type="dxa"/>
            <w:tcBorders>
              <w:top w:val="single" w:sz="6" w:space="0" w:color="99CCFF"/>
              <w:left w:val="single" w:sz="2" w:space="0" w:color="999999"/>
              <w:bottom w:val="single" w:sz="6" w:space="0" w:color="99CCFF"/>
              <w:right w:val="single" w:sz="2" w:space="0" w:color="999999"/>
            </w:tcBorders>
            <w:shd w:val="clear" w:color="auto" w:fill="99CCFF"/>
            <w:vAlign w:val="bottom"/>
          </w:tcPr>
          <w:p w:rsidR="00BA34E2" w:rsidRDefault="00FD7C43">
            <w:pPr>
              <w:spacing w:after="0" w:line="259" w:lineRule="auto"/>
              <w:ind w:left="1" w:firstLine="0"/>
            </w:pPr>
            <w:r>
              <w:rPr>
                <w:b/>
                <w:color w:val="000080"/>
                <w:sz w:val="17"/>
              </w:rPr>
              <w:t xml:space="preserve">EMAIL  </w:t>
            </w:r>
          </w:p>
        </w:tc>
        <w:tc>
          <w:tcPr>
            <w:tcW w:w="71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1775BA" w:rsidRDefault="001775BA">
            <w:pPr>
              <w:spacing w:after="0" w:line="259" w:lineRule="auto"/>
              <w:ind w:left="0" w:firstLine="0"/>
            </w:pPr>
          </w:p>
          <w:p w:rsidR="001775BA" w:rsidRDefault="00F7689E">
            <w:pPr>
              <w:spacing w:after="0" w:line="259" w:lineRule="auto"/>
              <w:ind w:left="0" w:firstLine="0"/>
            </w:pPr>
            <w:hyperlink r:id="rId6" w:history="1">
              <w:r w:rsidR="001775BA" w:rsidRPr="00E55269">
                <w:rPr>
                  <w:rStyle w:val="Lienhypertexte"/>
                </w:rPr>
                <w:t>jerome.lambert@paris7.jussieu.fr</w:t>
              </w:r>
            </w:hyperlink>
            <w:r w:rsidR="001775BA">
              <w:t xml:space="preserve"> </w:t>
            </w:r>
            <w:bookmarkStart w:id="0" w:name="_GoBack"/>
            <w:bookmarkEnd w:id="0"/>
          </w:p>
          <w:p w:rsidR="00BA34E2" w:rsidRDefault="00FD7C4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87221</wp:posOffset>
                      </wp:positionV>
                      <wp:extent cx="3073019" cy="6096"/>
                      <wp:effectExtent l="0" t="0" r="0" b="0"/>
                      <wp:wrapNone/>
                      <wp:docPr id="6560" name="Group 6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019" cy="6096"/>
                                <a:chOff x="0" y="0"/>
                                <a:chExt cx="3073019" cy="6096"/>
                              </a:xfrm>
                            </wpg:grpSpPr>
                            <wps:wsp>
                              <wps:cNvPr id="7275" name="Shape 7275"/>
                              <wps:cNvSpPr/>
                              <wps:spPr>
                                <a:xfrm>
                                  <a:off x="0" y="0"/>
                                  <a:ext cx="30730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3019" h="9144">
                                      <a:moveTo>
                                        <a:pt x="0" y="0"/>
                                      </a:moveTo>
                                      <a:lnTo>
                                        <a:pt x="3073019" y="0"/>
                                      </a:lnTo>
                                      <a:lnTo>
                                        <a:pt x="30730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60" style="width:241.97pt;height:0.47998pt;position:absolute;z-index:-2147483520;mso-position-horizontal-relative:text;mso-position-horizontal:absolute;margin-left:0.75pt;mso-position-vertical-relative:text;margin-top:6.8678pt;" coordsize="30730,60">
                      <v:shape id="Shape 7276" style="position:absolute;width:30730;height:91;left:0;top:0;" coordsize="3073019,9144" path="m0,0l3073019,0l3073019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</w:tr>
    </w:tbl>
    <w:p w:rsidR="00BA34E2" w:rsidRDefault="00FD7C43">
      <w:pPr>
        <w:spacing w:after="51" w:line="259" w:lineRule="auto"/>
        <w:ind w:left="0" w:firstLine="0"/>
      </w:pPr>
      <w:r>
        <w:rPr>
          <w:color w:val="003399"/>
          <w:sz w:val="15"/>
        </w:rPr>
        <w:t xml:space="preserve"> </w:t>
      </w:r>
    </w:p>
    <w:p w:rsidR="00BA34E2" w:rsidRDefault="00FD7C43">
      <w:pPr>
        <w:shd w:val="clear" w:color="auto" w:fill="336699"/>
        <w:spacing w:after="31" w:line="265" w:lineRule="auto"/>
        <w:ind w:left="41"/>
      </w:pPr>
      <w:r>
        <w:rPr>
          <w:b/>
          <w:color w:val="FFFFFF"/>
          <w:sz w:val="17"/>
        </w:rPr>
        <w:t xml:space="preserve">INTITULE DU POSTE </w:t>
      </w:r>
    </w:p>
    <w:p w:rsidR="00BA34E2" w:rsidRDefault="00FD7C43">
      <w:pPr>
        <w:spacing w:after="53" w:line="259" w:lineRule="auto"/>
        <w:ind w:left="41"/>
      </w:pPr>
      <w:r>
        <w:rPr>
          <w:color w:val="003399"/>
        </w:rPr>
        <w:t xml:space="preserve">Praticien Hospitalier  </w:t>
      </w:r>
    </w:p>
    <w:p w:rsidR="00BA34E2" w:rsidRDefault="00FD7C43">
      <w:pPr>
        <w:shd w:val="clear" w:color="auto" w:fill="336699"/>
        <w:spacing w:after="31" w:line="265" w:lineRule="auto"/>
        <w:ind w:left="41"/>
      </w:pPr>
      <w:r>
        <w:rPr>
          <w:b/>
          <w:color w:val="FFFFFF"/>
          <w:sz w:val="17"/>
        </w:rPr>
        <w:t xml:space="preserve">METIER </w:t>
      </w:r>
    </w:p>
    <w:p w:rsidR="00BA34E2" w:rsidRDefault="00FD7C43">
      <w:pPr>
        <w:spacing w:after="53" w:line="259" w:lineRule="auto"/>
        <w:ind w:left="41"/>
      </w:pPr>
      <w:r>
        <w:rPr>
          <w:color w:val="003399"/>
        </w:rPr>
        <w:t xml:space="preserve">Praticien Hospitalier  </w:t>
      </w:r>
    </w:p>
    <w:p w:rsidR="00BA34E2" w:rsidRDefault="00FD7C43">
      <w:pPr>
        <w:shd w:val="clear" w:color="auto" w:fill="336699"/>
        <w:spacing w:after="31" w:line="265" w:lineRule="auto"/>
        <w:ind w:left="41"/>
      </w:pPr>
      <w:r>
        <w:rPr>
          <w:b/>
          <w:color w:val="FFFFFF"/>
          <w:sz w:val="17"/>
        </w:rPr>
        <w:t xml:space="preserve">CODE METIER </w:t>
      </w:r>
    </w:p>
    <w:p w:rsidR="00BA34E2" w:rsidRDefault="00FD7C43">
      <w:pPr>
        <w:spacing w:after="53" w:line="259" w:lineRule="auto"/>
        <w:ind w:left="41"/>
      </w:pPr>
      <w:r>
        <w:rPr>
          <w:color w:val="003399"/>
        </w:rPr>
        <w:t xml:space="preserve">Santé Publique et médecine sociale </w:t>
      </w:r>
    </w:p>
    <w:p w:rsidR="00BA34E2" w:rsidRDefault="00FD7C43">
      <w:pPr>
        <w:pStyle w:val="Titre1"/>
        <w:spacing w:after="146"/>
        <w:ind w:left="41"/>
      </w:pPr>
      <w:r>
        <w:t xml:space="preserve">STRUCTURE </w:t>
      </w:r>
    </w:p>
    <w:p w:rsidR="00BA34E2" w:rsidRDefault="00FD7C43">
      <w:pPr>
        <w:pStyle w:val="Titre2"/>
        <w:spacing w:after="151"/>
        <w:ind w:left="86"/>
      </w:pPr>
      <w:r>
        <w:t xml:space="preserve">POLE </w:t>
      </w:r>
    </w:p>
    <w:p w:rsidR="00BA34E2" w:rsidRDefault="00FD7C43">
      <w:pPr>
        <w:pStyle w:val="Titre3"/>
        <w:ind w:left="86"/>
      </w:pPr>
      <w:r>
        <w:t xml:space="preserve">INTITULE </w:t>
      </w:r>
    </w:p>
    <w:p w:rsidR="00BA34E2" w:rsidRDefault="00FD7C43">
      <w:pPr>
        <w:spacing w:after="215" w:line="259" w:lineRule="auto"/>
        <w:ind w:left="91" w:firstLine="0"/>
      </w:pPr>
      <w:r>
        <w:rPr>
          <w:b/>
          <w:sz w:val="15"/>
        </w:rPr>
        <w:t xml:space="preserve">DRCI-URC </w:t>
      </w:r>
    </w:p>
    <w:p w:rsidR="00BA34E2" w:rsidRDefault="00FD7C43">
      <w:pPr>
        <w:tabs>
          <w:tab w:val="right" w:pos="11021"/>
        </w:tabs>
        <w:spacing w:after="1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9024" cy="19431"/>
                <wp:effectExtent l="0" t="0" r="0" b="0"/>
                <wp:docPr id="6634" name="Group 6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24" cy="19431"/>
                          <a:chOff x="0" y="0"/>
                          <a:chExt cx="6669024" cy="19431"/>
                        </a:xfrm>
                      </wpg:grpSpPr>
                      <wps:wsp>
                        <wps:cNvPr id="7277" name="Shape 7277"/>
                        <wps:cNvSpPr/>
                        <wps:spPr>
                          <a:xfrm>
                            <a:off x="254" y="0"/>
                            <a:ext cx="66675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41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0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3048" y="1143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6665976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0" y="4191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6665976" y="4191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0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3048" y="16383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6665976" y="163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34" style="width:525.12pt;height:1.53003pt;mso-position-horizontal-relative:char;mso-position-vertical-relative:line" coordsize="66690,194">
                <v:shape id="Shape 7286" style="position:absolute;width:66675;height:184;left:2;top:0;" coordsize="6667500,18415" path="m0,0l6667500,0l6667500,18415l0,18415l0,0">
                  <v:stroke weight="0pt" endcap="flat" joinstyle="miter" miterlimit="10" on="false" color="#000000" opacity="0"/>
                  <v:fill on="true" color="#808080"/>
                </v:shape>
                <v:shape id="Shape 7287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288" style="position:absolute;width:66629;height:91;left:30;top:11;" coordsize="6662928,9144" path="m0,0l6662928,0l6662928,9144l0,9144l0,0">
                  <v:stroke weight="0pt" endcap="flat" joinstyle="miter" miterlimit="10" on="false" color="#000000" opacity="0"/>
                  <v:fill on="true" color="#a0a0a0"/>
                </v:shape>
                <v:shape id="Shape 7289" style="position:absolute;width:91;height:91;left:66659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290" style="position:absolute;width:91;height:121;left:0;top:41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7291" style="position:absolute;width:91;height:121;left:66659;top:41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7292" style="position:absolute;width:91;height:91;left:0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293" style="position:absolute;width:66629;height:91;left:30;top:163;" coordsize="6662928,9144" path="m0,0l6662928,0l6662928,9144l0,9144l0,0">
                  <v:stroke weight="0pt" endcap="flat" joinstyle="miter" miterlimit="10" on="false" color="#000000" opacity="0"/>
                  <v:fill on="true" color="#e3e3e3"/>
                </v:shape>
                <v:shape id="Shape 7294" style="position:absolute;width:91;height:91;left:66659;top:16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color w:val="003399"/>
          <w:sz w:val="15"/>
        </w:rPr>
        <w:tab/>
        <w:t xml:space="preserve"> </w:t>
      </w:r>
    </w:p>
    <w:p w:rsidR="00BA34E2" w:rsidRDefault="00FD7C43">
      <w:pPr>
        <w:pStyle w:val="Titre3"/>
        <w:ind w:left="86"/>
      </w:pPr>
      <w:r>
        <w:t xml:space="preserve">ACTIVITE </w:t>
      </w:r>
    </w:p>
    <w:p w:rsidR="00BA34E2" w:rsidRDefault="00FD7C43">
      <w:pPr>
        <w:spacing w:after="86"/>
        <w:ind w:right="12"/>
      </w:pPr>
      <w:r>
        <w:t xml:space="preserve">La DRCI-URC assure différente MISSION : </w:t>
      </w:r>
    </w:p>
    <w:p w:rsidR="00BA34E2" w:rsidRDefault="00FD7C43">
      <w:pPr>
        <w:numPr>
          <w:ilvl w:val="0"/>
          <w:numId w:val="1"/>
        </w:numPr>
        <w:spacing w:after="27" w:line="281" w:lineRule="auto"/>
        <w:ind w:right="1098" w:hanging="360"/>
      </w:pPr>
      <w:r>
        <w:t xml:space="preserve">Déployer une assistance méthodologique auprès des investigateurs 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aider les investigateurs à concevoir leur projet de recherche et à le réaliser au plan méthodologique, </w:t>
      </w:r>
      <w:proofErr w:type="spellStart"/>
      <w:r>
        <w:t>biostatistique</w:t>
      </w:r>
      <w:proofErr w:type="spellEnd"/>
      <w:r>
        <w:t xml:space="preserve">, technique et en conformité avec la règlementation, </w:t>
      </w:r>
    </w:p>
    <w:p w:rsidR="00BA34E2" w:rsidRDefault="00FD7C43">
      <w:pPr>
        <w:numPr>
          <w:ilvl w:val="1"/>
          <w:numId w:val="1"/>
        </w:numPr>
        <w:spacing w:after="41"/>
        <w:ind w:right="12" w:hanging="360"/>
      </w:pPr>
      <w:proofErr w:type="gramStart"/>
      <w:r>
        <w:t>étudier</w:t>
      </w:r>
      <w:proofErr w:type="gramEnd"/>
      <w:r>
        <w:t xml:space="preserve"> la faisabilité des projets, </w:t>
      </w:r>
    </w:p>
    <w:p w:rsidR="00BA34E2" w:rsidRDefault="00FD7C43">
      <w:pPr>
        <w:numPr>
          <w:ilvl w:val="1"/>
          <w:numId w:val="1"/>
        </w:numPr>
        <w:spacing w:after="42"/>
        <w:ind w:right="12" w:hanging="360"/>
      </w:pPr>
      <w:proofErr w:type="gramStart"/>
      <w:r>
        <w:t>établir</w:t>
      </w:r>
      <w:proofErr w:type="gramEnd"/>
      <w:r>
        <w:t xml:space="preserve"> les budgets prévisionnels des projets de recherche, </w:t>
      </w:r>
    </w:p>
    <w:p w:rsidR="00BA34E2" w:rsidRDefault="00FD7C43">
      <w:pPr>
        <w:numPr>
          <w:ilvl w:val="1"/>
          <w:numId w:val="1"/>
        </w:numPr>
        <w:spacing w:after="45"/>
        <w:ind w:right="12" w:hanging="360"/>
      </w:pPr>
      <w:proofErr w:type="gramStart"/>
      <w:r>
        <w:t>aider</w:t>
      </w:r>
      <w:proofErr w:type="gramEnd"/>
      <w:r>
        <w:t xml:space="preserve"> les investigateurs principaux pour la rédaction des réponses aux appels d’offres, </w:t>
      </w:r>
    </w:p>
    <w:p w:rsidR="00BA34E2" w:rsidRDefault="00FD7C43">
      <w:pPr>
        <w:numPr>
          <w:ilvl w:val="1"/>
          <w:numId w:val="1"/>
        </w:numPr>
        <w:spacing w:after="51"/>
        <w:ind w:right="12" w:hanging="360"/>
      </w:pPr>
      <w:proofErr w:type="gramStart"/>
      <w:r>
        <w:t>informer</w:t>
      </w:r>
      <w:proofErr w:type="gramEnd"/>
      <w:r>
        <w:t xml:space="preserve"> les investigateurs de leurs engagements et obligations à l’égard du promoteur dans le respect de la Charte des Partenariats Industriels de l’AP-HP, </w:t>
      </w:r>
    </w:p>
    <w:p w:rsidR="00BA34E2" w:rsidRDefault="00FD7C43">
      <w:pPr>
        <w:numPr>
          <w:ilvl w:val="1"/>
          <w:numId w:val="1"/>
        </w:numPr>
        <w:spacing w:after="60" w:line="281" w:lineRule="auto"/>
        <w:ind w:right="12" w:hanging="360"/>
      </w:pPr>
      <w:proofErr w:type="gramStart"/>
      <w:r>
        <w:t>gérer</w:t>
      </w:r>
      <w:proofErr w:type="gramEnd"/>
      <w:r>
        <w:t xml:space="preserve"> les budgets alloués et les aspects administratifs des recherches, en lien avec le DRCD et la direction du GH,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mettre à disposition des moyens d’aide au recrutement des patients, notamment des techniciens d’étude clinique (TEC). </w:t>
      </w:r>
    </w:p>
    <w:p w:rsidR="00BA34E2" w:rsidRDefault="00FD7C43">
      <w:pPr>
        <w:numPr>
          <w:ilvl w:val="0"/>
          <w:numId w:val="1"/>
        </w:numPr>
        <w:ind w:right="1098" w:hanging="360"/>
      </w:pPr>
      <w:r>
        <w:t xml:space="preserve">Mettre en œuvre le monitoring des projets : </w:t>
      </w:r>
    </w:p>
    <w:p w:rsidR="00BA34E2" w:rsidRDefault="00FD7C43">
      <w:pPr>
        <w:numPr>
          <w:ilvl w:val="1"/>
          <w:numId w:val="1"/>
        </w:numPr>
        <w:spacing w:after="84"/>
        <w:ind w:right="12" w:hanging="360"/>
      </w:pPr>
      <w:proofErr w:type="gramStart"/>
      <w:r>
        <w:t>mettre</w:t>
      </w:r>
      <w:proofErr w:type="gramEnd"/>
      <w:r>
        <w:t xml:space="preserve"> en place, suivre, contrôler la qualité technique et règlementaire des recherches sur les lieux de recherche (monitoring) par délégation et sous la responsabilité du promoteur – DRCD-Siège. </w:t>
      </w:r>
    </w:p>
    <w:p w:rsidR="00BA34E2" w:rsidRDefault="00FD7C43">
      <w:pPr>
        <w:numPr>
          <w:ilvl w:val="0"/>
          <w:numId w:val="1"/>
        </w:numPr>
        <w:spacing w:after="83"/>
        <w:ind w:right="1098" w:hanging="360"/>
      </w:pPr>
      <w:r>
        <w:t xml:space="preserve">Assurer la gestion des données des projets : </w:t>
      </w:r>
      <w:r>
        <w:rPr>
          <w:rFonts w:ascii="Courier New" w:eastAsia="Courier New" w:hAnsi="Courier New" w:cs="Courier New"/>
          <w:sz w:val="31"/>
          <w:vertAlign w:val="subscript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recueillir et traiter les données des recherches : data management et analyses statistiques,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aider les investigateurs à rédiger les rapports de recherche et les publications. </w:t>
      </w:r>
    </w:p>
    <w:p w:rsidR="00BA34E2" w:rsidRDefault="00FD7C43">
      <w:pPr>
        <w:numPr>
          <w:ilvl w:val="0"/>
          <w:numId w:val="1"/>
        </w:numPr>
        <w:spacing w:after="29"/>
        <w:ind w:right="1098" w:hanging="360"/>
      </w:pPr>
      <w:r>
        <w:t xml:space="preserve">Participer à la coordination des activités de recherche du groupe hospitalier 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participer à l’animation de la recherche au sein du groupe hospitalier,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participer à la formation des acteurs au sein du groupe hospitalier.  </w:t>
      </w:r>
    </w:p>
    <w:p w:rsidR="00BA34E2" w:rsidRDefault="00FD7C43">
      <w:pPr>
        <w:spacing w:after="83" w:line="259" w:lineRule="auto"/>
        <w:ind w:left="91" w:firstLine="0"/>
      </w:pPr>
      <w:r>
        <w:rPr>
          <w:b/>
          <w:sz w:val="15"/>
        </w:rPr>
        <w:t xml:space="preserve"> </w:t>
      </w:r>
    </w:p>
    <w:p w:rsidR="00BA34E2" w:rsidRDefault="00FD7C43">
      <w:pPr>
        <w:tabs>
          <w:tab w:val="right" w:pos="1102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669024" cy="19812"/>
                <wp:effectExtent l="0" t="0" r="0" b="0"/>
                <wp:docPr id="6635" name="Group 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24" cy="19812"/>
                          <a:chOff x="0" y="0"/>
                          <a:chExt cx="6669024" cy="19812"/>
                        </a:xfrm>
                      </wpg:grpSpPr>
                      <wps:wsp>
                        <wps:cNvPr id="7295" name="Shape 7295"/>
                        <wps:cNvSpPr/>
                        <wps:spPr>
                          <a:xfrm>
                            <a:off x="254" y="0"/>
                            <a:ext cx="66675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41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0" y="1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3048" y="1525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6665976" y="1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0" y="457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6665976" y="457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3048" y="16764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666597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35" style="width:525.12pt;height:1.56pt;mso-position-horizontal-relative:char;mso-position-vertical-relative:line" coordsize="66690,198">
                <v:shape id="Shape 7304" style="position:absolute;width:66675;height:184;left:2;top:0;" coordsize="6667500,18415" path="m0,0l6667500,0l6667500,18415l0,18415l0,0">
                  <v:stroke weight="0pt" endcap="flat" joinstyle="miter" miterlimit="10" on="false" color="#000000" opacity="0"/>
                  <v:fill on="true" color="#808080"/>
                </v:shape>
                <v:shape id="Shape 7305" style="position:absolute;width:91;height:91;left:0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306" style="position:absolute;width:66629;height:91;left:30;top:15;" coordsize="6662928,9144" path="m0,0l6662928,0l6662928,9144l0,9144l0,0">
                  <v:stroke weight="0pt" endcap="flat" joinstyle="miter" miterlimit="10" on="false" color="#000000" opacity="0"/>
                  <v:fill on="true" color="#a0a0a0"/>
                </v:shape>
                <v:shape id="Shape 7307" style="position:absolute;width:91;height:91;left:66659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308" style="position:absolute;width:91;height:121;left:0;top:45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7309" style="position:absolute;width:91;height:121;left:66659;top:45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7310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311" style="position:absolute;width:66629;height:91;left:30;top:167;" coordsize="6662928,9144" path="m0,0l6662928,0l6662928,9144l0,9144l0,0">
                  <v:stroke weight="0pt" endcap="flat" joinstyle="miter" miterlimit="10" on="false" color="#000000" opacity="0"/>
                  <v:fill on="true" color="#e3e3e3"/>
                </v:shape>
                <v:shape id="Shape 7312" style="position:absolute;width:91;height:91;left:66659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color w:val="003399"/>
          <w:sz w:val="15"/>
        </w:rPr>
        <w:tab/>
        <w:t xml:space="preserve"> </w:t>
      </w:r>
    </w:p>
    <w:p w:rsidR="00BA34E2" w:rsidRDefault="00FD7C43">
      <w:pPr>
        <w:spacing w:after="326" w:line="259" w:lineRule="auto"/>
        <w:ind w:left="46" w:firstLine="0"/>
      </w:pPr>
      <w:r>
        <w:rPr>
          <w:color w:val="003399"/>
          <w:sz w:val="2"/>
        </w:rPr>
        <w:t xml:space="preserve"> </w:t>
      </w:r>
    </w:p>
    <w:p w:rsidR="00BA34E2" w:rsidRDefault="00FD7C43">
      <w:pPr>
        <w:pStyle w:val="Titre2"/>
        <w:ind w:left="86"/>
      </w:pPr>
      <w:r>
        <w:t xml:space="preserve">SERVICE </w:t>
      </w:r>
    </w:p>
    <w:p w:rsidR="00BA34E2" w:rsidRDefault="00FD7C43">
      <w:pPr>
        <w:pStyle w:val="Titre3"/>
        <w:spacing w:after="96"/>
        <w:ind w:left="86"/>
      </w:pPr>
      <w:r>
        <w:t xml:space="preserve">PRESENTATION </w:t>
      </w:r>
    </w:p>
    <w:p w:rsidR="00BA34E2" w:rsidRDefault="00FD7C43">
      <w:pPr>
        <w:ind w:right="12"/>
      </w:pPr>
      <w:r>
        <w:t xml:space="preserve">Cette fiche de poste s’inscrit dans l’activité de l’URC du GH Saint-Louis, Lariboisière, Fernand-Widal sur le site Saint Louis. </w:t>
      </w:r>
    </w:p>
    <w:p w:rsidR="00BA34E2" w:rsidRDefault="00FD7C43">
      <w:pPr>
        <w:ind w:right="12"/>
      </w:pPr>
      <w:r>
        <w:t xml:space="preserve">L’URC site Saint-Louis assure le montage des projets de recherche clinique pour la réponse aux appels d’offre, puis la prise en charge de l’instruction, la mise en </w:t>
      </w:r>
      <w:proofErr w:type="spellStart"/>
      <w:r>
        <w:t>oeuvre</w:t>
      </w:r>
      <w:proofErr w:type="spellEnd"/>
      <w:r>
        <w:t xml:space="preserve"> et le suivi des projets de recherche clinique sélectionnés et promus par la DRCI en interface avec le pôle promotion du DRCI-Siège, les investigateurs coordinateurs, l’AGEPS et la cellule de recherche et d’innovation du GH.             </w:t>
      </w:r>
    </w:p>
    <w:p w:rsidR="00BA34E2" w:rsidRDefault="00FD7C43">
      <w:pPr>
        <w:ind w:right="574"/>
      </w:pPr>
      <w:r>
        <w:t xml:space="preserve">Notre activité, s’exerce essentiellement au sein du GH et est organisée de façon opérationnelle par thématique et par projets : - Hématologie-Immunologie-Cancérologie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Thérapie Cellulaire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Gastroentérologie 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Pneumologie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Néphrologie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Dermatologie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Maladies infectieuses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Réanimation, urgences - Maladie rares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Neurologie, psychiatrie </w:t>
      </w:r>
    </w:p>
    <w:p w:rsidR="00BA34E2" w:rsidRDefault="00FD7C43">
      <w:pPr>
        <w:numPr>
          <w:ilvl w:val="0"/>
          <w:numId w:val="2"/>
        </w:numPr>
        <w:ind w:right="12" w:hanging="130"/>
      </w:pPr>
      <w:r>
        <w:t xml:space="preserve">Génétique </w:t>
      </w:r>
    </w:p>
    <w:p w:rsidR="00BA34E2" w:rsidRDefault="00FD7C43">
      <w:pPr>
        <w:spacing w:after="194"/>
        <w:ind w:right="12"/>
      </w:pPr>
      <w:r>
        <w:t xml:space="preserve">Celle-ci est également très variée en terme de type d’études, avec la prise en charge d’essais de phases précoces, recherche de dose, phase II, phase III et aussi de recherches interventionnelles à risques et contraintes minimes et de recherches non interventionnelles. </w:t>
      </w:r>
    </w:p>
    <w:p w:rsidR="00BA34E2" w:rsidRDefault="00FD7C43">
      <w:pPr>
        <w:spacing w:after="196"/>
        <w:ind w:right="12"/>
      </w:pPr>
      <w:r>
        <w:t xml:space="preserve">Deux autres structures travaillent en collaboration étroite avec l’unité de recherche clinique, le service de </w:t>
      </w:r>
      <w:proofErr w:type="spellStart"/>
      <w:r>
        <w:t>biostatistiques</w:t>
      </w:r>
      <w:proofErr w:type="spellEnd"/>
      <w:r>
        <w:t xml:space="preserve"> et information médicale (SBIM) sur les volets </w:t>
      </w:r>
      <w:proofErr w:type="spellStart"/>
      <w:r>
        <w:t>biostatistiques</w:t>
      </w:r>
      <w:proofErr w:type="spellEnd"/>
      <w:r>
        <w:t xml:space="preserve"> et méthodologiques et le département d’information médicale (DIM) (Pr S </w:t>
      </w:r>
      <w:proofErr w:type="spellStart"/>
      <w:r>
        <w:t>Chevret</w:t>
      </w:r>
      <w:proofErr w:type="spellEnd"/>
      <w:r>
        <w:t xml:space="preserve">). </w:t>
      </w:r>
    </w:p>
    <w:p w:rsidR="00BA34E2" w:rsidRDefault="00FD7C43">
      <w:pPr>
        <w:spacing w:after="182"/>
        <w:ind w:right="12"/>
      </w:pPr>
      <w:r>
        <w:t xml:space="preserve">Sur le plan statistique, les thématiques de notre URC sont en rapport avec les thématiques cliniques du GH: analyse de survie, modèles prédictifs, design de protocole thérapeutique d’essais de phase précoce, analyses bayésiennes </w:t>
      </w:r>
    </w:p>
    <w:p w:rsidR="00BA34E2" w:rsidRDefault="00FD7C43">
      <w:pPr>
        <w:tabs>
          <w:tab w:val="right" w:pos="11021"/>
        </w:tabs>
        <w:spacing w:after="1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9024" cy="19177"/>
                <wp:effectExtent l="0" t="0" r="0" b="0"/>
                <wp:docPr id="5911" name="Group 5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24" cy="19177"/>
                          <a:chOff x="0" y="0"/>
                          <a:chExt cx="6669024" cy="19177"/>
                        </a:xfrm>
                      </wpg:grpSpPr>
                      <wps:wsp>
                        <wps:cNvPr id="7313" name="Shape 7313"/>
                        <wps:cNvSpPr/>
                        <wps:spPr>
                          <a:xfrm>
                            <a:off x="254" y="0"/>
                            <a:ext cx="66675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41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3048" y="889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6665976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0" y="393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6665976" y="393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0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3048" y="16129"/>
                            <a:ext cx="6662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4">
                                <a:moveTo>
                                  <a:pt x="0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1" name="Shape 7321"/>
                        <wps:cNvSpPr/>
                        <wps:spPr>
                          <a:xfrm>
                            <a:off x="6665976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11" style="width:525.12pt;height:1.51001pt;mso-position-horizontal-relative:char;mso-position-vertical-relative:line" coordsize="66690,191">
                <v:shape id="Shape 7322" style="position:absolute;width:66675;height:184;left:2;top:0;" coordsize="6667500,18415" path="m0,0l6667500,0l6667500,18415l0,18415l0,0">
                  <v:stroke weight="0pt" endcap="flat" joinstyle="miter" miterlimit="10" on="false" color="#000000" opacity="0"/>
                  <v:fill on="true" color="#808080"/>
                </v:shape>
                <v:shape id="Shape 7323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324" style="position:absolute;width:66629;height:91;left:30;top:8;" coordsize="6662928,9144" path="m0,0l6662928,0l6662928,9144l0,9144l0,0">
                  <v:stroke weight="0pt" endcap="flat" joinstyle="miter" miterlimit="10" on="false" color="#000000" opacity="0"/>
                  <v:fill on="true" color="#a0a0a0"/>
                </v:shape>
                <v:shape id="Shape 7325" style="position:absolute;width:91;height:91;left:66659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326" style="position:absolute;width:91;height:121;left:0;top:39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7327" style="position:absolute;width:91;height:121;left:66659;top:39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7328" style="position:absolute;width:91;height:91;left:0;top:16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329" style="position:absolute;width:66629;height:91;left:30;top:161;" coordsize="6662928,9144" path="m0,0l6662928,0l6662928,9144l0,9144l0,0">
                  <v:stroke weight="0pt" endcap="flat" joinstyle="miter" miterlimit="10" on="false" color="#000000" opacity="0"/>
                  <v:fill on="true" color="#e3e3e3"/>
                </v:shape>
                <v:shape id="Shape 7330" style="position:absolute;width:91;height:91;left:66659;top:16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color w:val="003399"/>
          <w:sz w:val="15"/>
        </w:rPr>
        <w:tab/>
        <w:t xml:space="preserve"> </w:t>
      </w:r>
    </w:p>
    <w:p w:rsidR="00BA34E2" w:rsidRDefault="00FD7C43">
      <w:pPr>
        <w:pStyle w:val="Titre3"/>
        <w:ind w:left="86"/>
      </w:pPr>
      <w:r>
        <w:t xml:space="preserve">COMPOSITION DE L’EQUIPE </w:t>
      </w:r>
    </w:p>
    <w:p w:rsidR="00BA34E2" w:rsidRDefault="00FD7C43">
      <w:pPr>
        <w:spacing w:after="172"/>
        <w:ind w:right="12"/>
      </w:pPr>
      <w:r>
        <w:t xml:space="preserve">Pr Matthieu </w:t>
      </w:r>
      <w:proofErr w:type="spellStart"/>
      <w:r>
        <w:t>Resche-rigon</w:t>
      </w:r>
      <w:proofErr w:type="spellEnd"/>
      <w:r>
        <w:t xml:space="preserve"> (PU-PH) </w:t>
      </w:r>
      <w:proofErr w:type="spellStart"/>
      <w:r>
        <w:t>Resp</w:t>
      </w:r>
      <w:proofErr w:type="spellEnd"/>
      <w:r>
        <w:t xml:space="preserve">., 1 PU-PH, 2 MCU-PH, 2 AHU, 1 PH, 4 biostatisticiens, 4 data Manager, 20 </w:t>
      </w:r>
      <w:proofErr w:type="spellStart"/>
      <w:r>
        <w:t>ARCs</w:t>
      </w:r>
      <w:proofErr w:type="spellEnd"/>
      <w:r>
        <w:t xml:space="preserve">, 1 TEC, 6 CP, 3 CEC, 1 opératrice de saisie, 1 informaticien, 1 secrétaire, 1 ingénieur de recherche, 1 data </w:t>
      </w:r>
      <w:proofErr w:type="spellStart"/>
      <w:r>
        <w:t>scientist</w:t>
      </w:r>
      <w:proofErr w:type="spellEnd"/>
      <w:r>
        <w:t xml:space="preserve"> </w:t>
      </w:r>
    </w:p>
    <w:p w:rsidR="00BA34E2" w:rsidRDefault="00FD7C43">
      <w:pPr>
        <w:pStyle w:val="Titre2"/>
        <w:spacing w:after="242"/>
        <w:ind w:left="86"/>
      </w:pPr>
      <w:r>
        <w:t xml:space="preserve">LIAISONS </w:t>
      </w:r>
    </w:p>
    <w:p w:rsidR="00BA34E2" w:rsidRDefault="00FD7C43">
      <w:pPr>
        <w:spacing w:after="64" w:line="259" w:lineRule="auto"/>
        <w:ind w:left="86"/>
      </w:pPr>
      <w:r>
        <w:rPr>
          <w:b/>
          <w:color w:val="003399"/>
          <w:sz w:val="15"/>
        </w:rPr>
        <w:t xml:space="preserve">HIERARCHIQUE DIRECTE </w:t>
      </w:r>
    </w:p>
    <w:p w:rsidR="00BA34E2" w:rsidRDefault="00FD7C43">
      <w:pPr>
        <w:spacing w:after="197"/>
        <w:ind w:left="507" w:right="12"/>
      </w:pPr>
      <w:r>
        <w:rPr>
          <w:rFonts w:ascii="Segoe UI Symbol" w:eastAsia="Segoe UI Symbol" w:hAnsi="Segoe UI Symbol" w:cs="Segoe UI Symbol"/>
          <w:sz w:val="20"/>
        </w:rPr>
        <w:t></w:t>
      </w:r>
      <w:r>
        <w:t>Le responsable de l’URC</w:t>
      </w:r>
      <w:r>
        <w:rPr>
          <w:sz w:val="20"/>
        </w:rPr>
        <w:t xml:space="preserve"> </w:t>
      </w:r>
    </w:p>
    <w:p w:rsidR="00BA34E2" w:rsidRDefault="00FD7C43">
      <w:pPr>
        <w:pStyle w:val="Titre3"/>
        <w:ind w:left="86"/>
      </w:pPr>
      <w:r>
        <w:t xml:space="preserve">FONCTIONNELLES </w:t>
      </w:r>
    </w:p>
    <w:p w:rsidR="00BA34E2" w:rsidRDefault="00FD7C43">
      <w:pPr>
        <w:numPr>
          <w:ilvl w:val="0"/>
          <w:numId w:val="3"/>
        </w:numPr>
        <w:ind w:right="12" w:hanging="132"/>
      </w:pPr>
      <w:r>
        <w:t xml:space="preserve">Equipe interne de l’URC : Chefs de projets, CEC, ARC, TEC, Data manager, Biostatisticien, Statisticien </w:t>
      </w:r>
    </w:p>
    <w:p w:rsidR="00BA34E2" w:rsidRDefault="00FD7C43">
      <w:pPr>
        <w:numPr>
          <w:ilvl w:val="0"/>
          <w:numId w:val="3"/>
        </w:numPr>
        <w:ind w:right="12" w:hanging="132"/>
      </w:pPr>
      <w:r>
        <w:t xml:space="preserve">Les différents pôles de la DRCI-siège :  </w:t>
      </w:r>
      <w:proofErr w:type="gramStart"/>
      <w:r>
        <w:t>Promotion ,</w:t>
      </w:r>
      <w:proofErr w:type="gramEnd"/>
      <w:r>
        <w:t xml:space="preserve"> Pharmacovigilance, Qualité et gestion des risques, OTTPI, Gestion </w:t>
      </w:r>
    </w:p>
    <w:p w:rsidR="00BA34E2" w:rsidRDefault="00FD7C43">
      <w:pPr>
        <w:numPr>
          <w:ilvl w:val="0"/>
          <w:numId w:val="3"/>
        </w:numPr>
        <w:ind w:right="12" w:hanging="132"/>
      </w:pPr>
      <w:r>
        <w:t xml:space="preserve">Le secteur Essais Cliniques de l’Agence Générale des Equipements et Produits de santé (AGEPS) et / ou </w:t>
      </w:r>
      <w:proofErr w:type="gramStart"/>
      <w:r>
        <w:t>les pharmacie</w:t>
      </w:r>
      <w:proofErr w:type="gramEnd"/>
      <w:r>
        <w:t xml:space="preserve"> à usage intérieur (PUI) </w:t>
      </w:r>
    </w:p>
    <w:p w:rsidR="00BA34E2" w:rsidRDefault="00FD7C43">
      <w:pPr>
        <w:numPr>
          <w:ilvl w:val="0"/>
          <w:numId w:val="3"/>
        </w:numPr>
        <w:ind w:right="12" w:hanging="132"/>
      </w:pPr>
      <w:r>
        <w:t xml:space="preserve">Les personnels hospitaliers concernés par les recherches promues par l’AP-HP : investigateurs, pharmaciens, personnel paramédical et administratif </w:t>
      </w:r>
    </w:p>
    <w:p w:rsidR="00BA34E2" w:rsidRDefault="00FD7C43">
      <w:pPr>
        <w:spacing w:after="0" w:line="259" w:lineRule="auto"/>
        <w:ind w:left="569" w:firstLine="0"/>
      </w:pPr>
      <w:r>
        <w:rPr>
          <w:b/>
        </w:rPr>
        <w:t xml:space="preserve"> </w:t>
      </w:r>
    </w:p>
    <w:p w:rsidR="00BA34E2" w:rsidRDefault="00FD7C43">
      <w:pPr>
        <w:spacing w:after="33" w:line="259" w:lineRule="auto"/>
        <w:ind w:left="91" w:firstLine="0"/>
      </w:pPr>
      <w:r>
        <w:rPr>
          <w:color w:val="003399"/>
          <w:sz w:val="2"/>
        </w:rPr>
        <w:t xml:space="preserve"> </w:t>
      </w:r>
    </w:p>
    <w:p w:rsidR="00BA34E2" w:rsidRDefault="00FD7C43">
      <w:pPr>
        <w:spacing w:after="220" w:line="259" w:lineRule="auto"/>
        <w:ind w:left="46" w:firstLine="0"/>
      </w:pPr>
      <w:r>
        <w:rPr>
          <w:color w:val="003399"/>
          <w:sz w:val="2"/>
        </w:rPr>
        <w:t xml:space="preserve"> </w:t>
      </w:r>
    </w:p>
    <w:p w:rsidR="00BA34E2" w:rsidRDefault="00FD7C43">
      <w:pPr>
        <w:pStyle w:val="Titre1"/>
        <w:ind w:left="41"/>
      </w:pPr>
      <w:r>
        <w:t xml:space="preserve">ACTIVITES </w:t>
      </w:r>
    </w:p>
    <w:p w:rsidR="00BA34E2" w:rsidRDefault="00FD7C43">
      <w:pPr>
        <w:spacing w:after="0" w:line="259" w:lineRule="auto"/>
        <w:ind w:left="766" w:firstLine="0"/>
      </w:pPr>
      <w:r>
        <w:rPr>
          <w:rFonts w:ascii="Arial" w:eastAsia="Arial" w:hAnsi="Arial" w:cs="Arial"/>
        </w:rPr>
        <w:t xml:space="preserve">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 xml:space="preserve">Mission générale : </w:t>
      </w:r>
    </w:p>
    <w:p w:rsidR="00BA34E2" w:rsidRDefault="00FD7C43">
      <w:pPr>
        <w:ind w:left="56" w:right="12"/>
      </w:pPr>
      <w:r>
        <w:t xml:space="preserve">Le praticien hospitalier de l’URC seconde le responsable de l’URC dans ses activités. Il participe au </w:t>
      </w:r>
      <w:proofErr w:type="gramStart"/>
      <w:r>
        <w:t>montage,  pilotage</w:t>
      </w:r>
      <w:proofErr w:type="gramEnd"/>
      <w:r>
        <w:t xml:space="preserve"> et à la coordination de projets de recherche à tous les stades de leur avancement: expertise méthodologique scientifique dans la conception des études, supervision des démarches règlementaires et du bon déroulement de la recherche, analyses statistiques des données, valorisation.   </w:t>
      </w:r>
    </w:p>
    <w:p w:rsidR="00BA34E2" w:rsidRDefault="00FD7C43">
      <w:pPr>
        <w:spacing w:after="0" w:line="259" w:lineRule="auto"/>
        <w:ind w:left="46" w:firstLine="0"/>
      </w:pPr>
      <w:r>
        <w:t xml:space="preserve"> </w:t>
      </w:r>
    </w:p>
    <w:p w:rsidR="00BA34E2" w:rsidRDefault="00FD7C43">
      <w:pPr>
        <w:spacing w:after="37"/>
        <w:ind w:left="56" w:right="12"/>
      </w:pPr>
      <w:r>
        <w:t xml:space="preserve">Il participe également à l’encadrement et la coordination des équipes de l’URC en lien avec le responsable de l’URC (répartition des plans de charge de travail, évaluation). </w:t>
      </w:r>
    </w:p>
    <w:p w:rsidR="00BA34E2" w:rsidRDefault="00FD7C43">
      <w:pPr>
        <w:spacing w:after="0" w:line="259" w:lineRule="auto"/>
        <w:ind w:left="4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A34E2" w:rsidRDefault="00FD7C43">
      <w:pPr>
        <w:spacing w:after="0" w:line="259" w:lineRule="auto"/>
        <w:ind w:left="41"/>
      </w:pPr>
      <w:r>
        <w:rPr>
          <w:b/>
        </w:rPr>
        <w:t>Missions détaillées</w:t>
      </w:r>
      <w:r>
        <w:rPr>
          <w:b/>
          <w:sz w:val="20"/>
        </w:rPr>
        <w:t xml:space="preserve"> :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Soutien aux investigateurs du GH dans la mise en place de leurs projets de recherche clinique : expertise méthodologique, analyses statistiques, aide juridique et réglementaire.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Aider les investigateurs pour répondre à </w:t>
      </w:r>
      <w:proofErr w:type="gramStart"/>
      <w:r>
        <w:t>des  appels</w:t>
      </w:r>
      <w:proofErr w:type="gramEnd"/>
      <w:r>
        <w:t xml:space="preserve"> à projets ou obtenir des financements (élaboration des schéma d’études, calcul du nombre de sujets nécessaire, structuration des projets, supervision de l’élaboration des budgets).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lastRenderedPageBreak/>
        <w:t xml:space="preserve">Piloter la mise en œuvre et le suivi des projets de recherche en lien avec les chefs de projets dans le respect des Bonnes Pratiques Cliniques.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Animation des réunions d’équipe et réunion avec les différents collaborateurs d’une recherche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Participer à l’interface entre l’URC et la DRCI-siège.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Participer à la rédaction et la mise à jour de procédures au sein du service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Coordonner et faire le liens entre les différents acteurs impliqués dans un projet de recherche </w:t>
      </w:r>
      <w:proofErr w:type="gramStart"/>
      <w:r>
        <w:t>( investigateurs</w:t>
      </w:r>
      <w:proofErr w:type="gramEnd"/>
      <w:r>
        <w:t xml:space="preserve">, ARC, Chef de projets, statisticiens, data-manager, etc…)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Participer à l’encadrement des équipes </w:t>
      </w:r>
    </w:p>
    <w:p w:rsidR="00BA34E2" w:rsidRDefault="00FD7C43">
      <w:pPr>
        <w:numPr>
          <w:ilvl w:val="0"/>
          <w:numId w:val="4"/>
        </w:numPr>
        <w:ind w:right="12" w:hanging="360"/>
      </w:pPr>
      <w:r>
        <w:t xml:space="preserve">Définir, allouer et optimiser les ressources au regard des priorités et des contraintes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Aide au suivi de l’assurance qualité </w:t>
      </w:r>
    </w:p>
    <w:p w:rsidR="00BA34E2" w:rsidRDefault="00FD7C43">
      <w:pPr>
        <w:spacing w:after="0" w:line="259" w:lineRule="auto"/>
        <w:ind w:left="46" w:firstLine="0"/>
      </w:pPr>
      <w:r>
        <w:t xml:space="preserve"> </w:t>
      </w:r>
    </w:p>
    <w:p w:rsidR="00BA34E2" w:rsidRDefault="00FD7C43">
      <w:pPr>
        <w:spacing w:after="0" w:line="259" w:lineRule="auto"/>
        <w:ind w:left="46" w:firstLine="0"/>
      </w:pPr>
      <w:r>
        <w:t xml:space="preserve"> </w:t>
      </w:r>
    </w:p>
    <w:p w:rsidR="00BA34E2" w:rsidRDefault="00FD7C43">
      <w:pPr>
        <w:spacing w:after="0" w:line="259" w:lineRule="auto"/>
        <w:ind w:left="46" w:firstLine="0"/>
      </w:pPr>
      <w:r>
        <w:t xml:space="preserve"> </w:t>
      </w:r>
    </w:p>
    <w:p w:rsidR="00BA34E2" w:rsidRDefault="00FD7C43">
      <w:pPr>
        <w:spacing w:after="0" w:line="259" w:lineRule="auto"/>
        <w:ind w:left="766" w:firstLine="0"/>
      </w:pPr>
      <w:r>
        <w:t xml:space="preserve"> </w:t>
      </w:r>
    </w:p>
    <w:p w:rsidR="00BA34E2" w:rsidRDefault="00FD7C43">
      <w:pPr>
        <w:pStyle w:val="Titre1"/>
        <w:ind w:left="41"/>
      </w:pPr>
      <w:r>
        <w:t xml:space="preserve">QUOTITE DE TRAVAIL </w:t>
      </w:r>
    </w:p>
    <w:p w:rsidR="00BA34E2" w:rsidRDefault="00FD7C43">
      <w:pPr>
        <w:ind w:left="56" w:right="12"/>
      </w:pPr>
      <w:r>
        <w:t xml:space="preserve">100% </w:t>
      </w:r>
    </w:p>
    <w:p w:rsidR="00BA34E2" w:rsidRDefault="00FD7C43">
      <w:pPr>
        <w:spacing w:after="34"/>
        <w:ind w:left="56" w:right="6248"/>
      </w:pPr>
      <w:r>
        <w:t xml:space="preserve">Rémunération selon grille Praticien Hospitalier contractuel </w:t>
      </w:r>
      <w:r>
        <w:rPr>
          <w:color w:val="003399"/>
          <w:sz w:val="20"/>
        </w:rPr>
        <w:t xml:space="preserve"> </w:t>
      </w:r>
    </w:p>
    <w:p w:rsidR="00BA34E2" w:rsidRDefault="00FD7C43">
      <w:pPr>
        <w:pStyle w:val="Titre1"/>
        <w:spacing w:after="151"/>
        <w:ind w:left="41"/>
      </w:pPr>
      <w:r>
        <w:t xml:space="preserve">HORAIRES DE TRAVAIL </w:t>
      </w:r>
    </w:p>
    <w:p w:rsidR="00BA34E2" w:rsidRDefault="00FD7C43">
      <w:pPr>
        <w:ind w:left="56" w:right="12"/>
      </w:pPr>
      <w:r>
        <w:t xml:space="preserve">Ceux du médecin Hospitalier (pas de garde ni d’astreinte) </w:t>
      </w:r>
    </w:p>
    <w:tbl>
      <w:tblPr>
        <w:tblStyle w:val="TableGrid"/>
        <w:tblW w:w="11050" w:type="dxa"/>
        <w:tblInd w:w="31" w:type="dxa"/>
        <w:tblCellMar>
          <w:top w:w="57" w:type="dxa"/>
          <w:left w:w="14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1050"/>
      </w:tblGrid>
      <w:tr w:rsidR="00BA34E2">
        <w:trPr>
          <w:trHeight w:val="251"/>
        </w:trPr>
        <w:tc>
          <w:tcPr>
            <w:tcW w:w="11050" w:type="dxa"/>
            <w:tcBorders>
              <w:top w:val="nil"/>
              <w:left w:val="nil"/>
              <w:bottom w:val="nil"/>
              <w:right w:val="nil"/>
            </w:tcBorders>
            <w:shd w:val="clear" w:color="auto" w:fill="336699"/>
          </w:tcPr>
          <w:p w:rsidR="00BA34E2" w:rsidRDefault="00FD7C43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17"/>
              </w:rPr>
              <w:t xml:space="preserve">COMPETENCES REQUISES </w:t>
            </w:r>
          </w:p>
        </w:tc>
      </w:tr>
      <w:tr w:rsidR="00BA34E2">
        <w:trPr>
          <w:trHeight w:val="328"/>
        </w:trPr>
        <w:tc>
          <w:tcPr>
            <w:tcW w:w="110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BA34E2" w:rsidRDefault="00FD7C43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color w:val="003399"/>
                <w:sz w:val="17"/>
              </w:rPr>
              <w:t>Savoir faire</w:t>
            </w:r>
            <w:proofErr w:type="spellEnd"/>
            <w:r>
              <w:rPr>
                <w:b/>
                <w:color w:val="003399"/>
                <w:sz w:val="17"/>
              </w:rPr>
              <w:t xml:space="preserve"> requis </w:t>
            </w:r>
          </w:p>
        </w:tc>
      </w:tr>
    </w:tbl>
    <w:p w:rsidR="00BA34E2" w:rsidRDefault="00FD7C43">
      <w:pPr>
        <w:numPr>
          <w:ilvl w:val="0"/>
          <w:numId w:val="5"/>
        </w:numPr>
        <w:ind w:right="12" w:hanging="132"/>
      </w:pPr>
      <w:r>
        <w:t xml:space="preserve">Méthodes en recherche clinique, Epidémiologie, </w:t>
      </w:r>
      <w:proofErr w:type="spellStart"/>
      <w:r>
        <w:t>Biostatistiques</w:t>
      </w:r>
      <w:proofErr w:type="spellEnd"/>
      <w:r>
        <w:t xml:space="preserve"> </w:t>
      </w:r>
    </w:p>
    <w:p w:rsidR="00BA34E2" w:rsidRDefault="00FD7C43">
      <w:pPr>
        <w:numPr>
          <w:ilvl w:val="0"/>
          <w:numId w:val="5"/>
        </w:numPr>
        <w:ind w:right="12" w:hanging="132"/>
      </w:pPr>
      <w:r>
        <w:t xml:space="preserve">Réglementation relative à la recherche clinique  </w:t>
      </w:r>
    </w:p>
    <w:p w:rsidR="00BA34E2" w:rsidRDefault="00FD7C43">
      <w:pPr>
        <w:numPr>
          <w:ilvl w:val="0"/>
          <w:numId w:val="5"/>
        </w:numPr>
        <w:ind w:right="12" w:hanging="132"/>
      </w:pPr>
      <w:r>
        <w:t xml:space="preserve">Management </w:t>
      </w:r>
    </w:p>
    <w:p w:rsidR="00BA34E2" w:rsidRDefault="00FD7C43">
      <w:pPr>
        <w:numPr>
          <w:ilvl w:val="0"/>
          <w:numId w:val="5"/>
        </w:numPr>
        <w:spacing w:after="174"/>
        <w:ind w:right="12" w:hanging="132"/>
      </w:pPr>
      <w:r>
        <w:t xml:space="preserve">Conduite de projets </w:t>
      </w:r>
    </w:p>
    <w:p w:rsidR="00BA34E2" w:rsidRDefault="00FD7C43">
      <w:pPr>
        <w:pStyle w:val="Titre2"/>
        <w:ind w:left="86"/>
      </w:pPr>
      <w:r>
        <w:t xml:space="preserve">Connaissances associées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Organisation et fonctionnement interne de l'établissement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Éthique et déontologie médicales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Aisance relationnelle, sens des relations professionnelles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Capacité d’adaptation 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Initiative, autonomie </w:t>
      </w:r>
    </w:p>
    <w:p w:rsidR="00BA34E2" w:rsidRDefault="00FD7C43">
      <w:pPr>
        <w:numPr>
          <w:ilvl w:val="0"/>
          <w:numId w:val="6"/>
        </w:numPr>
        <w:ind w:right="12" w:hanging="132"/>
      </w:pPr>
      <w:r>
        <w:t xml:space="preserve">Capacité de négociation </w:t>
      </w:r>
    </w:p>
    <w:p w:rsidR="00BA34E2" w:rsidRDefault="00FD7C43">
      <w:pPr>
        <w:numPr>
          <w:ilvl w:val="0"/>
          <w:numId w:val="6"/>
        </w:numPr>
        <w:spacing w:after="47"/>
        <w:ind w:right="12" w:hanging="132"/>
      </w:pPr>
      <w:r>
        <w:t xml:space="preserve">Rigueur et intégrité scientifique </w:t>
      </w:r>
    </w:p>
    <w:p w:rsidR="00BA34E2" w:rsidRDefault="00FD7C43">
      <w:pPr>
        <w:pStyle w:val="Titre1"/>
        <w:spacing w:after="511"/>
        <w:ind w:left="41"/>
      </w:pPr>
      <w:r>
        <w:t xml:space="preserve">PRE-REQUIS </w:t>
      </w:r>
    </w:p>
    <w:p w:rsidR="00BA34E2" w:rsidRDefault="00FD7C43">
      <w:pPr>
        <w:ind w:left="56" w:right="12"/>
      </w:pPr>
      <w:r>
        <w:t xml:space="preserve">Titulaire d’un diplôme de docteur en médecine ou en pharmacie. </w:t>
      </w:r>
    </w:p>
    <w:p w:rsidR="00BA34E2" w:rsidRDefault="00FD7C43">
      <w:pPr>
        <w:spacing w:after="349"/>
        <w:ind w:left="56" w:right="12"/>
      </w:pPr>
      <w:r>
        <w:t xml:space="preserve">Expérience en épidémiologie, </w:t>
      </w:r>
      <w:proofErr w:type="spellStart"/>
      <w:r>
        <w:t>biostatistiques</w:t>
      </w:r>
      <w:proofErr w:type="spellEnd"/>
      <w:r>
        <w:t xml:space="preserve"> ou recherche clinique. </w:t>
      </w:r>
    </w:p>
    <w:p w:rsidR="00BA34E2" w:rsidRDefault="00FD7C43">
      <w:pPr>
        <w:spacing w:after="259" w:line="259" w:lineRule="auto"/>
        <w:ind w:left="0" w:firstLine="0"/>
      </w:pPr>
      <w:r>
        <w:rPr>
          <w:color w:val="003399"/>
          <w:sz w:val="2"/>
        </w:rPr>
        <w:t xml:space="preserve"> </w:t>
      </w:r>
    </w:p>
    <w:p w:rsidR="00BA34E2" w:rsidRDefault="00FD7C43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sectPr w:rsidR="00BA34E2">
      <w:pgSz w:w="11906" w:h="16841"/>
      <w:pgMar w:top="1178" w:right="319" w:bottom="14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E4"/>
    <w:multiLevelType w:val="hybridMultilevel"/>
    <w:tmpl w:val="72F483BC"/>
    <w:lvl w:ilvl="0" w:tplc="343C4AFE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5A2540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BA1C10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8C7D60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C26880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7AE156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FA4982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C0B026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B63B4C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76217"/>
    <w:multiLevelType w:val="hybridMultilevel"/>
    <w:tmpl w:val="B5168592"/>
    <w:lvl w:ilvl="0" w:tplc="B3E86DE0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2287E">
      <w:start w:val="1"/>
      <w:numFmt w:val="bullet"/>
      <w:lvlText w:val="o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CAACA">
      <w:start w:val="1"/>
      <w:numFmt w:val="bullet"/>
      <w:lvlText w:val="▪"/>
      <w:lvlJc w:val="left"/>
      <w:pPr>
        <w:ind w:left="2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220C8">
      <w:start w:val="1"/>
      <w:numFmt w:val="bullet"/>
      <w:lvlText w:val="•"/>
      <w:lvlJc w:val="left"/>
      <w:pPr>
        <w:ind w:left="2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EFF70">
      <w:start w:val="1"/>
      <w:numFmt w:val="bullet"/>
      <w:lvlText w:val="o"/>
      <w:lvlJc w:val="left"/>
      <w:pPr>
        <w:ind w:left="3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A769A">
      <w:start w:val="1"/>
      <w:numFmt w:val="bullet"/>
      <w:lvlText w:val="▪"/>
      <w:lvlJc w:val="left"/>
      <w:pPr>
        <w:ind w:left="4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6904C">
      <w:start w:val="1"/>
      <w:numFmt w:val="bullet"/>
      <w:lvlText w:val="•"/>
      <w:lvlJc w:val="left"/>
      <w:pPr>
        <w:ind w:left="5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41B8C">
      <w:start w:val="1"/>
      <w:numFmt w:val="bullet"/>
      <w:lvlText w:val="o"/>
      <w:lvlJc w:val="left"/>
      <w:pPr>
        <w:ind w:left="5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0F7AA">
      <w:start w:val="1"/>
      <w:numFmt w:val="bullet"/>
      <w:lvlText w:val="▪"/>
      <w:lvlJc w:val="left"/>
      <w:pPr>
        <w:ind w:left="6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95134"/>
    <w:multiLevelType w:val="hybridMultilevel"/>
    <w:tmpl w:val="F7424428"/>
    <w:lvl w:ilvl="0" w:tplc="10AACD6E">
      <w:start w:val="1"/>
      <w:numFmt w:val="bullet"/>
      <w:lvlText w:val="-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A27C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FEC2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AC5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16B23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326C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D054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FADC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388C2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F2551A"/>
    <w:multiLevelType w:val="hybridMultilevel"/>
    <w:tmpl w:val="19A406F8"/>
    <w:lvl w:ilvl="0" w:tplc="B0229F9C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1A944E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CC11E6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CE366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DE1AEE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7EC7DA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AAE0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E6EA5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C00340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9B7E31"/>
    <w:multiLevelType w:val="hybridMultilevel"/>
    <w:tmpl w:val="CEDA1766"/>
    <w:lvl w:ilvl="0" w:tplc="2982D840">
      <w:start w:val="1"/>
      <w:numFmt w:val="bullet"/>
      <w:lvlText w:val="-"/>
      <w:lvlJc w:val="left"/>
      <w:pPr>
        <w:ind w:left="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A4092C">
      <w:start w:val="1"/>
      <w:numFmt w:val="bullet"/>
      <w:lvlText w:val="o"/>
      <w:lvlJc w:val="left"/>
      <w:pPr>
        <w:ind w:left="1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D7C8B16">
      <w:start w:val="1"/>
      <w:numFmt w:val="bullet"/>
      <w:lvlText w:val="▪"/>
      <w:lvlJc w:val="left"/>
      <w:pPr>
        <w:ind w:left="18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F6FA7E">
      <w:start w:val="1"/>
      <w:numFmt w:val="bullet"/>
      <w:lvlText w:val="•"/>
      <w:lvlJc w:val="left"/>
      <w:pPr>
        <w:ind w:left="2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303BE0">
      <w:start w:val="1"/>
      <w:numFmt w:val="bullet"/>
      <w:lvlText w:val="o"/>
      <w:lvlJc w:val="left"/>
      <w:pPr>
        <w:ind w:left="3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6A1CCA">
      <w:start w:val="1"/>
      <w:numFmt w:val="bullet"/>
      <w:lvlText w:val="▪"/>
      <w:lvlJc w:val="left"/>
      <w:pPr>
        <w:ind w:left="4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680282">
      <w:start w:val="1"/>
      <w:numFmt w:val="bullet"/>
      <w:lvlText w:val="•"/>
      <w:lvlJc w:val="left"/>
      <w:pPr>
        <w:ind w:left="4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0AB9A">
      <w:start w:val="1"/>
      <w:numFmt w:val="bullet"/>
      <w:lvlText w:val="o"/>
      <w:lvlJc w:val="left"/>
      <w:pPr>
        <w:ind w:left="5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ACD42">
      <w:start w:val="1"/>
      <w:numFmt w:val="bullet"/>
      <w:lvlText w:val="▪"/>
      <w:lvlJc w:val="left"/>
      <w:pPr>
        <w:ind w:left="6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21277B"/>
    <w:multiLevelType w:val="hybridMultilevel"/>
    <w:tmpl w:val="C0146EB4"/>
    <w:lvl w:ilvl="0" w:tplc="4BCA02D4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A41EA6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660546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FEE77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2C21D8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86061C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9C5AAA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B4368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054B8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E2"/>
    <w:rsid w:val="001775BA"/>
    <w:rsid w:val="003838AC"/>
    <w:rsid w:val="00BA34E2"/>
    <w:rsid w:val="00F7689E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8E59"/>
  <w15:docId w15:val="{ECBDC08F-5917-4C96-80AD-7FF411BE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left="101" w:hanging="10"/>
    </w:pPr>
    <w:rPr>
      <w:rFonts w:ascii="Verdana" w:eastAsia="Verdana" w:hAnsi="Verdana" w:cs="Verdana"/>
      <w:color w:val="000000"/>
      <w:sz w:val="1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hd w:val="clear" w:color="auto" w:fill="336699"/>
      <w:spacing w:after="31" w:line="265" w:lineRule="auto"/>
      <w:ind w:left="56" w:hanging="10"/>
      <w:outlineLvl w:val="0"/>
    </w:pPr>
    <w:rPr>
      <w:rFonts w:ascii="Verdana" w:eastAsia="Verdana" w:hAnsi="Verdana" w:cs="Verdana"/>
      <w:b/>
      <w:color w:val="FFFFFF"/>
      <w:sz w:val="1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CCCCCC"/>
      <w:spacing w:after="19" w:line="262" w:lineRule="auto"/>
      <w:ind w:left="101" w:hanging="10"/>
      <w:outlineLvl w:val="1"/>
    </w:pPr>
    <w:rPr>
      <w:rFonts w:ascii="Verdana" w:eastAsia="Verdana" w:hAnsi="Verdana" w:cs="Verdana"/>
      <w:b/>
      <w:color w:val="003399"/>
      <w:sz w:val="17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1" w:hanging="10"/>
      <w:outlineLvl w:val="2"/>
    </w:pPr>
    <w:rPr>
      <w:rFonts w:ascii="Verdana" w:eastAsia="Verdana" w:hAnsi="Verdana" w:cs="Verdana"/>
      <w:b/>
      <w:color w:val="003399"/>
      <w:sz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Verdana" w:eastAsia="Verdana" w:hAnsi="Verdana" w:cs="Verdana"/>
      <w:b/>
      <w:color w:val="003399"/>
      <w:sz w:val="15"/>
    </w:rPr>
  </w:style>
  <w:style w:type="character" w:customStyle="1" w:styleId="Titre2Car">
    <w:name w:val="Titre 2 Car"/>
    <w:link w:val="Titre2"/>
    <w:rPr>
      <w:rFonts w:ascii="Verdana" w:eastAsia="Verdana" w:hAnsi="Verdana" w:cs="Verdana"/>
      <w:b/>
      <w:color w:val="003399"/>
      <w:sz w:val="17"/>
    </w:rPr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FFFFFF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77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ome.lambert@paris7.jussieu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EEW - Fiche de recrutement</vt:lpstr>
    </vt:vector>
  </TitlesOfParts>
  <Company>APHP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EEW - Fiche de recrutement</dc:title>
  <dc:subject/>
  <dc:creator>nirin-c</dc:creator>
  <cp:keywords/>
  <cp:lastModifiedBy>CHAIX Clotilde</cp:lastModifiedBy>
  <cp:revision>5</cp:revision>
  <dcterms:created xsi:type="dcterms:W3CDTF">2023-06-23T08:08:00Z</dcterms:created>
  <dcterms:modified xsi:type="dcterms:W3CDTF">2023-07-06T08:01:00Z</dcterms:modified>
</cp:coreProperties>
</file>